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&#65279;<?xml version="1.0" encoding="UTF-8" standalone="yes"?><Relationships xmlns="http://schemas.openxmlformats.org/package/2006/relationships"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p14">
  <w:body>
    <w:p>
      <w:pPr>
        <w:pStyle w:val="CSILevel0"/>
        <w:numPr>
          <w:ilvl w:val="0"/>
          <w:numId w:val="1"/>
        </w:numPr>
        <w:ind w:left="0"/>
        <w:jc w:val="center"/>
      </w:pPr>
      <w:bookmarkStart w:id="0" w:name=""/>
      <w:bookmarkEnd w:id="0"/>
      <w:r>
        <w:rPr>
          <w:rFonts w:ascii="arial" w:eastAsia="arial" w:hAnsi="arial" w:cs="arial"/>
          <w:sz w:val="20"/>
          <w:szCs w:val="20"/>
        </w:rPr>
        <w:t xml:space="preserve">Section 072119 </w:t>
      </w:r>
      <w:r>
        <w:br/>
      </w:r>
      <w:r>
        <w:rPr>
          <w:rFonts w:ascii="arial" w:eastAsia="arial" w:hAnsi="arial" w:cs="arial"/>
          <w:sz w:val="20"/>
          <w:szCs w:val="20"/>
        </w:rPr>
        <w:t>Foamed-In-Place Insulation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1  GENERAL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REFERENCE STANDARDS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ASTM C518</w:t>
      </w:r>
      <w:r>
        <w:rPr>
          <w:rFonts w:ascii="arial" w:eastAsia="arial" w:hAnsi="arial" w:cs="arial"/>
          <w:sz w:val="20"/>
          <w:szCs w:val="20"/>
        </w:rPr>
        <w:t xml:space="preserve"> - Standard Test Method for Steady-State Thermal Transmission Properties by Means of the Heat Flow Meter Apparatus; 2021.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ASTM D2842</w:t>
      </w:r>
      <w:r>
        <w:rPr>
          <w:rFonts w:ascii="arial" w:eastAsia="arial" w:hAnsi="arial" w:cs="arial"/>
          <w:sz w:val="20"/>
          <w:szCs w:val="20"/>
        </w:rPr>
        <w:t xml:space="preserve"> - Standard Test Method for Water Absorption of Rigid Cellular Plastics; 2019.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ASTM E84</w:t>
      </w:r>
      <w:r>
        <w:rPr>
          <w:rFonts w:ascii="arial" w:eastAsia="arial" w:hAnsi="arial" w:cs="arial"/>
          <w:sz w:val="20"/>
          <w:szCs w:val="20"/>
        </w:rPr>
        <w:t xml:space="preserve"> - Standard Test Method for Surface Burning Characteristics of Building Materials; 2023d.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ASTM E96/E96M</w:t>
      </w:r>
      <w:r>
        <w:rPr>
          <w:rFonts w:ascii="arial" w:eastAsia="arial" w:hAnsi="arial" w:cs="arial"/>
          <w:sz w:val="20"/>
          <w:szCs w:val="20"/>
        </w:rPr>
        <w:t xml:space="preserve"> - Standard Test Methods for Gravimetric Determination of Water Vapor Transmission Rate of Materials; 2023.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ASTM E2178</w:t>
      </w:r>
      <w:r>
        <w:rPr>
          <w:rFonts w:ascii="arial" w:eastAsia="arial" w:hAnsi="arial" w:cs="arial"/>
          <w:sz w:val="20"/>
          <w:szCs w:val="20"/>
        </w:rPr>
        <w:t xml:space="preserve"> - Standard Test Method for Determining Air Leakage Rate and Calculation of Air Permeance of Building Materials; 2021a.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SUBMITTALS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See Section 013000 - Administrative Requirements for submittal procedures.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Product Data:  Provide product description, insulation properties, ​​and preparation requirements.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2  PRODUCTS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MATERIALS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Foamed-In-Place Insulation:  Medium-density, rigid or semi-rigid, ​closed cell​ polyurethane foam; foamed on-site, using blowing agent of water or non-ozone-depleting gas.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 xml:space="preserve">Thermal Resistance:  R-value of 7.1, minimum, per 1-inch thickness at 75 degrees F mean temperature when tested in accordance with </w:t>
      </w:r>
      <w:r>
        <w:rPr>
          <w:rFonts w:ascii="arial" w:eastAsia="arial" w:hAnsi="arial" w:cs="arial"/>
          <w:sz w:val="20"/>
          <w:szCs w:val="20"/>
        </w:rPr>
        <w:t>ASTM C518.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 xml:space="preserve">Water Vapor Permeance:  Vapor retarder; 2 perms, maximum, when tested at intended thickness in accordance with </w:t>
      </w:r>
      <w:r>
        <w:rPr>
          <w:rFonts w:ascii="arial" w:eastAsia="arial" w:hAnsi="arial" w:cs="arial"/>
          <w:sz w:val="20"/>
          <w:szCs w:val="20"/>
        </w:rPr>
        <w:t>ASTM E96/E96M, desiccant method.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Water Absorption:  Less than 2 percent by volume, maximum, when tested in accordance with ASTM D2842.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 xml:space="preserve">Air Permeance:  0.04 cfm per square foot, maximum, when tested at intended thickness in accordance with </w:t>
      </w:r>
      <w:r>
        <w:rPr>
          <w:rFonts w:ascii="arial" w:eastAsia="arial" w:hAnsi="arial" w:cs="arial"/>
          <w:sz w:val="20"/>
          <w:szCs w:val="20"/>
        </w:rPr>
        <w:t>ASTM E2178 at 1.57 psf.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Closed Cell Content:  At least 90 percent.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Surface Burning Characteristics:  Flame spread/smoke developed index of 25/450, maximum, when tested in accordance with ASTM E84.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ACCESSORIES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Primer:  As required by insulation manufacturer.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3  EXECUTION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APPLICATION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Apply insulation in accordance with manufacturer's instructions.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Apply insulation by spray method, to a uniform monolithic density without voids.</w:t>
      </w:r>
    </w:p>
    <w:p>
      <w:pPr>
        <w:pStyle w:val="CSILevel3"/>
        <w:numPr>
          <w:ilvl w:val="3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Apply to achieve a thermal resistance ​R-value of See Drawings​.</w:t>
      </w:r>
    </w:p>
    <w:p>
      <w:pPr>
        <w:pStyle w:val="CSILevel0"/>
        <w:numPr>
          <w:ilvl w:val="0"/>
          <w:numId w:val="3"/>
        </w:numPr>
        <w:ind w:left="0"/>
        <w:jc w:val="center"/>
        <w:sectPr>
          <w:headerReference w:type="default" r:id="gemHfRid0"/>
          <w:footerReference w:type="default" r:id="gemHfRid1"/>
          <w:pgSz w:w="12240" w:h="15840" w:code="1"/>
          <w:pgMar w:top="1440" w:right="1440" w:bottom="1440" w:left="1440" w:header="720" w:footer="720" w:gutter="0"/>
          <w:pgNumType w:start="1"/>
          <w:cols w:space="708"/>
          <w:docGrid w:linePitch="360"/>
        </w:sectPr>
      </w:pPr>
      <w:r>
        <w:rPr>
          <w:rFonts w:ascii="arial" w:eastAsia="arial" w:hAnsi="arial" w:cs="arial"/>
          <w:sz w:val="20"/>
          <w:szCs w:val="20"/>
        </w:rPr>
        <w:t>END OF SECTION</w:t>
      </w:r>
    </w:p>
    <w:p>
      <w:pPr>
        <w:pageBreakBefore/>
        <w:jc w:val="center"/>
        <w:rPr>
          <w:sz w:val="50"/>
          <w:szCs w:val="50"/>
        </w:rPr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rPr>
          <w:rFonts w:ascii="arial" w:eastAsia="arial" w:hAnsi="arial" w:cs="arial"/>
          <w:color w:val="808080"/>
          <w:sz w:val="38"/>
          <w:szCs w:val="38"/>
        </w:rPr>
        <w:t>This page intentionally left blank</w:t>
      </w:r>
    </w:p>
    <w:sectPr>
      <w:headerReference w:type="default" r:id="gemHfRid2"/>
      <w:footerReference w:type="default" r:id="gemHfRid3"/>
      <w:pgSz w:w="12240" w:h="15840" w:code="1"/>
      <w:pgMar w:top="1440" w:right="1440" w:bottom="1440" w:left="1440" w:header="720" w:footer="7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>
  <w:tbl>
    <w:tblPr>
      <w:tblW w:w="5000" w:type="pct"/>
      <w:jc w:val="left"/>
    </w:tblPr>
    <w:tr>
      <w:tc>
        <w:tcPr>
          <w:tcW w:w="1650" w:type="pct"/>
          <w:vAlign w:val="center"/>
        </w:tcPr>
        <w:p>
          <w:pPr>
            <w:spacing w:before="0" w:after="0"/>
            <w:jc w:val="lef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Haven House Expansion </w:t>
          </w:r>
        </w:p>
      </w:tc>
      <w:tc>
        <w:tcPr>
          <w:tcW w:w="1650" w:type="pct"/>
          <w:vAlign w:val="center"/>
        </w:tcPr>
        <w:p>
          <w:pPr>
            <w:spacing w:before="0"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072119 - </w:t>
          </w:r>
          <w:r>
            <w:rPr>
              <w:rFonts w:ascii="arial" w:eastAsia="arial" w:hAnsi="arial" w:cs="arial"/>
              <w:sz w:val="20"/>
              <w:szCs w:val="20"/>
            </w:rPr>
            <w:fldChar w:fldCharType="begin"/>
          </w:r>
          <w:r>
            <w:rPr>
              <w:rFonts w:ascii="arial" w:eastAsia="arial" w:hAnsi="arial" w:cs="arial"/>
              <w:sz w:val="20"/>
              <w:szCs w:val="20"/>
            </w:rPr>
            <w:instrText xml:space="preserve">PAGE </w:instrText>
          </w:r>
          <w:r>
            <w:rPr>
              <w:rFonts w:ascii="arial" w:eastAsia="arial" w:hAnsi="arial" w:cs="arial"/>
              <w:sz w:val="20"/>
              <w:szCs w:val="20"/>
            </w:rPr>
            <w:fldChar w:fldCharType="separate"/>
          </w:r>
          <w:r>
            <w:rPr>
              <w:rFonts w:hint="default" w:ascii="arial" w:eastAsia="arial" w:hAnsi="arial" w:cs="arial"/>
              <w:color w:val="000000"/>
              <w:spacing w:val="0"/>
              <w:w w:val="100"/>
              <w:kern w:val="0"/>
              <w:position w:val="0"/>
              <w:sz w:val="20"/>
              <w:szCs w:val="20"/>
              <w:highlight w:val="none"/>
              <w:u w:color="000000" w:val="none"/>
              <w:bdr w:val="nil"/>
            </w:rPr>
            <w:t>1</w:t>
          </w:r>
          <w:r>
            <w:rPr>
              <w:rFonts w:ascii="arial" w:eastAsia="arial" w:hAnsi="arial" w:cs="arial"/>
              <w:sz w:val="20"/>
              <w:szCs w:val="20"/>
            </w:rPr>
            <w:fldChar w:fldCharType="end"/>
          </w:r>
          <w:r>
            <w:rPr>
              <w:rFonts w:ascii="arial" w:eastAsia="arial" w:hAnsi="arial" w:cs="arial"/>
              <w:sz w:val="20"/>
              <w:szCs w:val="20"/>
            </w:rPr>
            <w:t xml:space="preserve"> </w:t>
          </w:r>
        </w:p>
      </w:tc>
      <w:tc>
        <w:tcPr>
          <w:tcW w:w="1650" w:type="pct"/>
          <w:vAlign w:val="center"/>
        </w:tcPr>
        <w:p>
          <w:pPr>
            <w:spacing w:before="0"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Foamed-In-Place Insulation </w:t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/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>
  <w:tbl>
    <w:tblPr>
      <w:tblW w:w="5000" w:type="pct"/>
      <w:jc w:val="left"/>
    </w:tblPr>
    <w:tr>
      <w:tc>
        <w:tcPr>
          <w:tcW w:w="1650" w:type="pct"/>
          <w:vAlign w:val="center"/>
        </w:tcPr>
        <w:p>
          <w:pPr>
            <w:spacing w:before="0" w:after="0"/>
            <w:jc w:val="left"/>
            <w:rPr>
              <w:rFonts w:ascii="arial" w:eastAsia="arial" w:hAnsi="arial" w:cs="arial"/>
              <w:sz w:val="20"/>
              <w:szCs w:val="20"/>
            </w:rPr>
          </w:pPr>
        </w:p>
      </w:tc>
      <w:tc>
        <w:tcPr>
          <w:tcW w:w="1650" w:type="pct"/>
          <w:vAlign w:val="center"/>
        </w:tcPr>
        <w:p>
          <w:pPr>
            <w:spacing w:before="0"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1650" w:type="pct"/>
          <w:vAlign w:val="center"/>
        </w:tcPr>
        <w:p>
          <w:pPr>
            <w:spacing w:before="0"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/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start w:val="1"/>
      <w:lvlText w:val="%1."/>
      <w:pPr>
        <w:ind w:left="720" w:hanging="360"/>
      </w:pPr>
    </w:lvl>
    <w:lvl w:ilvl="1">
      <w:start w:val="1"/>
      <w:numFmt w:val="lowerLetter"/>
      <w:lvlText w:val="%2.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lvlText w:val="%4."/>
      <w:pPr>
        <w:ind w:left="2880" w:hanging="360"/>
      </w:pPr>
    </w:lvl>
    <w:lvl w:ilvl="4">
      <w:start w:val="1"/>
      <w:numFmt w:val="lowerLetter"/>
      <w:lvlText w:val="%5.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lvlText w:val="%7."/>
      <w:pPr>
        <w:ind w:left="5040" w:hanging="360"/>
      </w:pPr>
    </w:lvl>
    <w:lvl w:ilvl="7">
      <w:start w:val="1"/>
      <w:numFmt w:val="lowerLetter"/>
      <w:lvlText w:val="%8.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pStyle w:val="CSILevel0"/>
      <w:lvlText w:val="%1."/>
      <w:pPr>
        <w:ind w:left="720" w:hanging="360"/>
      </w:pPr>
    </w:lvl>
    <w:lvl w:ilvl="1">
      <w:start w:val="1"/>
      <w:numFmt w:val="lowerLetter"/>
      <w:pStyle w:val="CSILevel1"/>
      <w:lvlText w:val="%2."/>
      <w:pPr>
        <w:ind w:left="1440" w:hanging="360"/>
      </w:pPr>
    </w:lvl>
    <w:lvl w:ilvl="2">
      <w:start w:val="1"/>
      <w:numFmt w:val="lowerRoman"/>
      <w:pStyle w:val="CSILevel2"/>
      <w:lvlText w:val="%3."/>
      <w:lvlJc w:val="right"/>
      <w:pPr>
        <w:ind w:left="2160" w:hanging="180"/>
      </w:pPr>
    </w:lvl>
    <w:lvl w:ilvl="3">
      <w:start w:val="1"/>
      <w:pStyle w:val="CSILevel3"/>
      <w:lvlText w:val="%4."/>
      <w:pPr>
        <w:ind w:left="2880" w:hanging="360"/>
      </w:pPr>
    </w:lvl>
    <w:lvl w:ilvl="4">
      <w:start w:val="1"/>
      <w:numFmt w:val="lowerLetter"/>
      <w:pStyle w:val="CSILevel4"/>
      <w:lvlText w:val="%5."/>
      <w:pPr>
        <w:ind w:left="3600" w:hanging="360"/>
      </w:pPr>
    </w:lvl>
    <w:lvl w:ilvl="5">
      <w:start w:val="1"/>
      <w:numFmt w:val="lowerRoman"/>
      <w:pStyle w:val="CSILevel5"/>
      <w:lvlText w:val="%6."/>
      <w:lvlJc w:val="right"/>
      <w:pPr>
        <w:ind w:left="4320" w:hanging="180"/>
      </w:pPr>
    </w:lvl>
    <w:lvl w:ilvl="6">
      <w:start w:val="1"/>
      <w:pStyle w:val="CSILevel6"/>
      <w:lvlText w:val="%7."/>
      <w:pPr>
        <w:ind w:left="5040" w:hanging="360"/>
      </w:pPr>
    </w:lvl>
    <w:lvl w:ilvl="7">
      <w:start w:val="1"/>
      <w:numFmt w:val="lowerLetter"/>
      <w:pStyle w:val="CSILevel7"/>
      <w:lvlText w:val="%8."/>
      <w:pPr>
        <w:ind w:left="5760" w:hanging="360"/>
      </w:pPr>
    </w:lvl>
    <w:lvl w:ilvl="8">
      <w:start w:val="1"/>
      <w:numFmt w:val="lowerRoman"/>
      <w:pStyle w:val="CSILevel8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lvlText w:val="%1."/>
      <w:pPr>
        <w:ind w:left="720" w:hanging="360"/>
      </w:pPr>
    </w:lvl>
    <w:lvl w:ilvl="1">
      <w:start w:val="1"/>
      <w:numFmt w:val="lowerLetter"/>
      <w:lvlText w:val="%2.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lvlText w:val="%4."/>
      <w:pPr>
        <w:ind w:left="2880" w:hanging="360"/>
      </w:pPr>
    </w:lvl>
    <w:lvl w:ilvl="4">
      <w:start w:val="1"/>
      <w:numFmt w:val="lowerLetter"/>
      <w:lvlText w:val="%5.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lvlText w:val="%7."/>
      <w:pPr>
        <w:ind w:left="5040" w:hanging="360"/>
      </w:pPr>
    </w:lvl>
    <w:lvl w:ilvl="7">
      <w:start w:val="1"/>
      <w:numFmt w:val="lowerLetter"/>
      <w:lvlText w:val="%8.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none"/>
        <w:suff w:val="nothing"/>
        <w:lvlText w:val=""/>
        <w:lvlJc w:val="center"/>
        <w:pPr>
          <w:ind w:left="0" w:hanging="0"/>
        </w:pPr>
        <w:rPr>
          <w:b/>
          <w:bCs/>
          <w:i w:val="false"/>
          <w:strike w:val="false"/>
        </w:rPr>
      </w:lvl>
    </w:lvlOverride>
  </w:num>
  <w:num w:numId="2">
    <w:abstractNumId w:val="1"/>
    <w:lvlOverride w:ilvl="0">
      <w:lvl w:ilvl="0">
        <w:start w:val="1"/>
        <w:numFmt w:val="none"/>
        <w:pStyle w:val="CSILevel0"/>
        <w:suff w:val="nothing"/>
        <w:lvlText w:val="%1"/>
        <w:lvlJc w:val="center"/>
        <w:pPr>
          <w:ind w:left="720" w:hanging="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1">
      <w:lvl w:ilvl="1">
        <w:start w:val="1"/>
        <w:numFmt w:val="decimal"/>
        <w:pStyle w:val="CSILevel1"/>
        <w:suff w:val="nothing"/>
        <w:lvlText w:val=""/>
        <w:lvlJc w:val="left"/>
        <w:pPr>
          <w:ind w:left="0" w:hanging="0"/>
        </w:pPr>
        <w:rPr>
          <w:b/>
          <w:bCs/>
          <w:i w:val="false"/>
          <w:caps w:val="false"/>
          <w:strike w:val="false"/>
          <w:u w:val="none"/>
        </w:rPr>
      </w:lvl>
    </w:lvlOverride>
    <w:lvlOverride w:ilvl="2">
      <w:lvl w:ilvl="2">
        <w:start w:val="1"/>
        <w:numFmt w:val="decimalZero"/>
        <w:pStyle w:val="CSILevel2"/>
        <w:suff w:val="tab"/>
        <w:lvlText w:val="%2.%3"/>
        <w:lvlJc w:val="left"/>
        <w:pPr>
          <w:ind w:left="530" w:hanging="530"/>
        </w:pPr>
        <w:rPr>
          <w:b/>
          <w:bCs/>
          <w:i w:val="false"/>
          <w:caps w:val="false"/>
          <w:strike w:val="false"/>
          <w:u w:val="none"/>
        </w:rPr>
      </w:lvl>
    </w:lvlOverride>
    <w:lvlOverride w:ilvl="3">
      <w:lvl w:ilvl="3">
        <w:start w:val="1"/>
        <w:numFmt w:val="upperLetter"/>
        <w:pStyle w:val="CSILevel3"/>
        <w:suff w:val="tab"/>
        <w:lvlText w:val="%4."/>
        <w:lvlJc w:val="left"/>
        <w:pPr>
          <w:ind w:left="90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4">
      <w:lvl w:ilvl="4">
        <w:start w:val="1"/>
        <w:numFmt w:val="decimal"/>
        <w:pStyle w:val="CSILevel4"/>
        <w:suff w:val="tab"/>
        <w:lvlText w:val="%5."/>
        <w:lvlJc w:val="left"/>
        <w:pPr>
          <w:ind w:left="1360" w:hanging="46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5">
      <w:lvl w:ilvl="5">
        <w:start w:val="1"/>
        <w:numFmt w:val="lowerLetter"/>
        <w:pStyle w:val="CSILevel5"/>
        <w:suff w:val="tab"/>
        <w:lvlText w:val="%6."/>
        <w:lvlJc w:val="left"/>
        <w:pPr>
          <w:ind w:left="178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6">
      <w:lvl w:ilvl="6">
        <w:start w:val="1"/>
        <w:numFmt w:val="decimal"/>
        <w:pStyle w:val="CSILevel6"/>
        <w:suff w:val="tab"/>
        <w:lvlText w:val="%7)"/>
        <w:lvlJc w:val="left"/>
        <w:pPr>
          <w:ind w:left="2230" w:hanging="45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7">
      <w:lvl w:ilvl="7">
        <w:start w:val="1"/>
        <w:numFmt w:val="lowerLetter"/>
        <w:pStyle w:val="CSILevel7"/>
        <w:suff w:val="tab"/>
        <w:lvlText w:val="(%8)"/>
        <w:lvlJc w:val="left"/>
        <w:pPr>
          <w:ind w:left="265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8">
      <w:lvl w:ilvl="8">
        <w:start w:val="1"/>
        <w:numFmt w:val="decimal"/>
        <w:pStyle w:val="CSILevel8"/>
        <w:suff w:val="tab"/>
        <w:lvlText w:val="(%9)"/>
        <w:lvlJc w:val="left"/>
        <w:pPr>
          <w:ind w:left="3100" w:hanging="45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</w:num>
  <w:num w:numId="3">
    <w:abstractNumId w:val="2"/>
    <w:lvlOverride w:ilvl="0">
      <w:lvl w:ilvl="0">
        <w:start w:val="1"/>
        <w:numFmt w:val="none"/>
        <w:suff w:val="nothing"/>
        <w:lvlText w:val=""/>
        <w:lvlJc w:val="center"/>
        <w:pPr>
          <w:ind w:left="0" w:hanging="0"/>
        </w:pPr>
        <w:rPr>
          <w:b/>
          <w:bCs/>
          <w:i w:val="false"/>
          <w:strike w:val="fals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F8D"/>
    <w:rsid w:val="00806F8D"/>
    <w:rsid w:val="00E0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</w:rPr>
    </w:rPrDefault>
    <w:pPrDefault>
      <w:pPr>
        <w:spacing w:after="200" w:lineRule="auto" w:line="276"/>
      </w:pPr>
    </w:pPrDefault>
  </w:docDefaults>
  <w:style w:type="paragraph" w:styleId="CSILevel0">
    <w:name w:val="CSILevel0"/>
    <w:qFormat/>
    <w:pPr>
      <w:numPr>
        <w:ilvl w:val="0"/>
        <w:numId w:val="2"/>
      </w:numPr>
      <w:spacing w:before="86" w:after="0" w:lineRule="auto" w:line="240"/>
      <w:outlineLvl w:val="9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0">
    <w:name w:val="Table-CSILevel0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0-AddParaTC">
    <w:name w:val="Table-CSILevel0-AddParaTC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0-RemoveParaTC">
    <w:name w:val="Table-CSILevel0-RemoveParaTC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1">
    <w:name w:val="CSILevel1"/>
    <w:qFormat/>
    <w:pPr>
      <w:numPr>
        <w:ilvl w:val="1"/>
        <w:numId w:val="2"/>
      </w:numPr>
      <w:spacing w:before="86" w:after="0" w:lineRule="auto" w:line="240"/>
      <w:outlineLvl w:val="0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1">
    <w:name w:val="Table-CSILevel1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1-AddParaTC">
    <w:name w:val="Table-CSILevel1-AddParaTC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1-RemoveParaTC">
    <w:name w:val="Table-CSILevel1-RemoveParaTC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2">
    <w:name w:val="CSILevel2"/>
    <w:qFormat/>
    <w:pPr>
      <w:numPr>
        <w:ilvl w:val="2"/>
        <w:numId w:val="2"/>
      </w:numPr>
      <w:spacing w:before="86" w:after="0" w:lineRule="auto" w:line="240"/>
      <w:outlineLvl w:val="1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2">
    <w:name w:val="Table-CSILevel2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2-AddParaTC">
    <w:name w:val="Table-CSILevel2-AddParaTC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2-RemoveParaTC">
    <w:name w:val="Table-CSILevel2-RemoveParaTC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3">
    <w:name w:val="CSILevel3"/>
    <w:qFormat/>
    <w:pPr>
      <w:numPr>
        <w:ilvl w:val="3"/>
        <w:numId w:val="2"/>
      </w:numPr>
      <w:spacing w:before="86" w:after="0" w:lineRule="auto" w:line="24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3">
    <w:name w:val="Table-CSILevel3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3-AddParaTC">
    <w:name w:val="Table-CSILevel3-AddParaTC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3-RemoveParaTC">
    <w:name w:val="Table-CSILevel3-RemoveParaTC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4">
    <w:name w:val="CSILevel4"/>
    <w:qFormat/>
    <w:pPr>
      <w:numPr>
        <w:ilvl w:val="4"/>
        <w:numId w:val="2"/>
      </w:numPr>
      <w:spacing w:before="14" w:after="0" w:lineRule="auto" w:line="24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4">
    <w:name w:val="Table-CSILevel4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4-AddParaTC">
    <w:name w:val="Table-CSILevel4-AddParaTC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4-RemoveParaTC">
    <w:name w:val="Table-CSILevel4-RemoveParaTC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5">
    <w:name w:val="CSILevel5"/>
    <w:qFormat/>
    <w:pPr>
      <w:numPr>
        <w:ilvl w:val="5"/>
        <w:numId w:val="2"/>
      </w:numPr>
      <w:spacing w:before="14" w:after="0" w:lineRule="auto" w:line="24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5">
    <w:name w:val="Table-CSILevel5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5-AddParaTC">
    <w:name w:val="Table-CSILevel5-AddParaTC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5-RemoveParaTC">
    <w:name w:val="Table-CSILevel5-RemoveParaTC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6">
    <w:name w:val="CSILevel6"/>
    <w:qFormat/>
    <w:pPr>
      <w:numPr>
        <w:ilvl w:val="6"/>
        <w:numId w:val="2"/>
      </w:numPr>
      <w:spacing w:before="14" w:after="0" w:lineRule="auto" w:line="24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6">
    <w:name w:val="Table-CSILevel6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6-AddParaTC">
    <w:name w:val="Table-CSILevel6-AddParaTC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6-RemoveParaTC">
    <w:name w:val="Table-CSILevel6-RemoveParaTC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7">
    <w:name w:val="CSILevel7"/>
    <w:qFormat/>
    <w:pPr>
      <w:numPr>
        <w:ilvl w:val="7"/>
        <w:numId w:val="2"/>
      </w:numPr>
      <w:spacing w:before="14" w:after="0" w:lineRule="auto" w:line="24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7">
    <w:name w:val="Table-CSILevel7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7-AddParaTC">
    <w:name w:val="Table-CSILevel7-AddParaTC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7-RemoveParaTC">
    <w:name w:val="Table-CSILevel7-RemoveParaTC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8">
    <w:name w:val="CSILevel8"/>
    <w:qFormat/>
    <w:pPr>
      <w:numPr>
        <w:ilvl w:val="8"/>
        <w:numId w:val="2"/>
      </w:numPr>
      <w:spacing w:before="14" w:after="0" w:lineRule="auto" w:line="24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8">
    <w:name w:val="Table-CSILevel8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8-AddParaTC">
    <w:name w:val="Table-CSILevel8-AddParaTC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8-RemoveParaTC">
    <w:name w:val="Table-CSILevel8-RemoveParaTC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Normal Table" w:default="true">
    <w:name w:val="Normal Table"/>
    <w:uiPriority w:val="99"/>
    <w:semiHidden/>
    <w:unhideWhenUsed/>
    <w:qFormat/>
    <w:pPr/>
    <w:rPr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able Grid">
    <w:name w:val="Table Grid"/>
    <w:basedOn w:val="Normal Table"/>
    <w:qFormat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4" w:color="000000"/>
        <w:left w:val="single" w:sz="4" w:color="000000"/>
        <w:bottom w:val="single" w:sz="4" w:color="000000"/>
        <w:right w:val="single" w:sz="4" w:color="000000"/>
        <w:insideH w:val="single" w:sz="4" w:color="000000"/>
        <w:insideV w:val="single" w:sz="4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gemHfRid0" Type="http://schemas.openxmlformats.org/officeDocument/2006/relationships/header" Target="header1.xml" /><Relationship Id="gemHfRid1" Type="http://schemas.openxmlformats.org/officeDocument/2006/relationships/footer" Target="footer1.xml" /><Relationship Id="gemHfRid2" Type="http://schemas.openxmlformats.org/officeDocument/2006/relationships/header" Target="header2.xml" /><Relationship Id="gemHfRid3" Type="http://schemas.openxmlformats.org/officeDocument/2006/relationships/footer" Target="footer2.xml" /><Relationship Id="rId1" Type="http://schemas.openxmlformats.org/officeDocument/2006/relationships/settings" Target="settings.xml" /><Relationship Id="rId2" Type="http://schemas.openxmlformats.org/officeDocument/2006/relationships/styles" Target="styles.xml" /><Relationship Id="rId3" Type="http://schemas.openxmlformats.org/officeDocument/2006/relationships/numbering" Target="numbering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