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099123 </w:t>
      </w:r>
      <w:r>
        <w:br/>
      </w:r>
      <w:r>
        <w:rPr>
          <w:rFonts w:ascii="arial" w:eastAsia="arial" w:hAnsi="arial" w:cs="arial"/>
          <w:sz w:val="20"/>
          <w:szCs w:val="20"/>
        </w:rPr>
        <w:t>Interior Painting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SECTION INCLUDES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Surface preparation.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Field application of paints.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Scope:  Finish interior surfaces exposed to view, unless fully factory-finished and unless otherwise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Paint or Finish the Following Items: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Items factory-finished unless otherwise indicated; materials and products having factory-applied primers are not considered factory finished.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Items indicated to receive other finishes.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Items indicated to remain unfinished.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Fire rating labels, equipment serial number and capacity labels, bar code labels, and operating parts of equipment.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Stainless steel, anodized aluminum, bronze, terne-coated stainless steel, and lead items.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Marble, granite, slate, and other natural stones.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Floors, unless specifically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Ceramic and other tiles.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Glass.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Acoustical materials, unless specifically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Concealed pipes, ducts, and conduits.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MPI (APSM)</w:t>
      </w:r>
      <w:r>
        <w:rPr>
          <w:rFonts w:ascii="arial" w:eastAsia="arial" w:hAnsi="arial" w:cs="arial"/>
          <w:sz w:val="20"/>
          <w:szCs w:val="20"/>
        </w:rPr>
        <w:t xml:space="preserve"> - Master Painters Institute Architectural Painting Specification Manual; Current Edition.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SSPC-SP 1</w:t>
      </w:r>
      <w:r>
        <w:rPr>
          <w:rFonts w:ascii="arial" w:eastAsia="arial" w:hAnsi="arial" w:cs="arial"/>
          <w:sz w:val="20"/>
          <w:szCs w:val="20"/>
        </w:rPr>
        <w:t xml:space="preserve"> - Solvent Cleaning; 2015, with Editorial Revision (2016).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SSPC-SP 6/NACE No.3</w:t>
      </w:r>
      <w:r>
        <w:rPr>
          <w:rFonts w:ascii="arial" w:eastAsia="arial" w:hAnsi="arial" w:cs="arial"/>
          <w:sz w:val="20"/>
          <w:szCs w:val="20"/>
        </w:rPr>
        <w:t xml:space="preserve"> - Commercial Blast Cleaning; 2006.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​two​ paper chip samples, ​2 x 2 inch​ in size illustrating range of colors​ and textures​ available for each surface finishing product scheduled.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paints and finishes used in any individual system from the same manufacturer; no exceptions.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PAINTS AND FINISHES - GENERAL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Paints and Finishes:  Ready-mixed, unless intended to be a field-catalyzed paint.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paints and finishes of a soft paste consistency, capable of being readily and uniformly dispersed to a homogeneous coating, with good flow and brushing properties, and capable of drying or curing free of streaks or sags.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Supply each paint material in quantity required to complete entire project's work from a single production run.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reduce, thin, or dilute paint or finishes or add materials unless such procedure is specifically described in manufacturer's product instructions.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PAINT SYSTEMS - INTERIOR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Paint I-OP -  Interior Surfaces to be Painted, Unless Otherwise Indicated:  Including gypsum board, concrete, concrete masonry units, brick, wood, plaster, uncoated steel, shop primed steel, galvanized steel, aluminum, and acoustical ceilings.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Two top coats and one coat primer.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Top Coat Sheen: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Eggshell:  MPI gloss level 3; use this sheen at all locations.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Paint I-OP-MD-DT -  Medium Duty Door/Trim:  For surfaces subject to frequent contact by occupants, including metals and wood: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Two top coats and one coat primer.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Top Coat Sheen: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Semi-Gloss:  MPI gloss level 5; use this sheen at all locations.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Primer:  As recommended by top coat manufacturer for specific substrate.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PREPARATION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Clean surfaces thoroughly and correct defects prior to application.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Prepare surfaces using the methods recommended by the manufacturer for achieving the best result for the substrate under the project conditions.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or mask surface appurtenances, including electrical plates, hardware, light fixture trim, escutcheons, and fittings, prior to preparing surfaces or finishing.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Seal surfaces that might cause bleed through or staining of topcoat.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Concrete: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Masonry: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Gypsum Board:  Fill minor defects with filler compound. Spot prime defects after repair.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Plaster:  Fill hairline cracks, small holes, and imperfections with latex patching plaster. Make smooth and flush with adjacent surfaces. Wash and neutralize high-alkali surfaces.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Aluminum:  Remove surface contamination and oils and wash with solvent according to SSPC-SP 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Galvanized Surfaces: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Ferrous Metal: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Solvent clean according to SSPC-SP 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Shop-Primed Surfaces:  Sand and scrape to remove loose primer and rust. Feather edges to make touch-up patches inconspicuous. Clean surfaces with solvent. Prime bare steel surfaces. Re-prime entire shop-primed item.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Remove rust, loose mill scale, and other foreign substances using methods recommended in writing by paint manufacturer and blast cleaning in accordance with SSPC-SP 6/NACE No.3. Protect from corrosion until coated.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Wood Surfaces to Receive Opaque Finish:  Wipe off dust and grit prior to priming. Seal knots, pitch streaks, and sappy sections with sealer. Fill nail holes and cracks after primer has dried; sand between coats. Back prime concealed surfaces before installation.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APPLICATION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products in accordance with manufacturer's written instructions and recommendations in "MPI Architectural Painting Specification Manual".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apply finishes to surfaces that are not dry. Allow applied coats to dry before next coat is applied.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each coat to uniform appearance in thicknesses specified by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Sand wood and metal surfaces lightly between coats to achieve required finish.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Vacuum clean surfaces of loose particles. Use tack cloth to remove dust and particles just prior to applying next coat.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Reinstall electrical cover plates, hardware, light fixture trim, escutcheons, and fittings removed prior to finishing.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099123 -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Interior Painting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