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>
      <w:pPr>
        <w:pStyle w:val="CSILevel0"/>
        <w:numPr>
          <w:ilvl w:val="0"/>
          <w:numId w:val="1"/>
        </w:numPr>
        <w:ind w:left="0"/>
        <w:jc w:val="center"/>
      </w:pPr>
      <w:bookmarkStart w:id="0" w:name=""/>
      <w:bookmarkEnd w:id="0"/>
      <w:r>
        <w:rPr>
          <w:rFonts w:ascii="arial" w:eastAsia="arial" w:hAnsi="arial" w:cs="arial"/>
          <w:sz w:val="20"/>
          <w:szCs w:val="20"/>
        </w:rPr>
        <w:t xml:space="preserve">Section 087100 </w:t>
      </w:r>
      <w:r>
        <w:br/>
      </w:r>
      <w:r>
        <w:rPr>
          <w:rFonts w:ascii="arial" w:eastAsia="arial" w:hAnsi="arial" w:cs="arial"/>
          <w:sz w:val="20"/>
          <w:szCs w:val="20"/>
        </w:rPr>
        <w:t>Door Hardware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1  GENERAL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RELATED REQUIREMENTS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Section 080671 - Door Hardware Schedule:  Schedule of door hardware sets.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REFERENCE STANDARDS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ADA Standards</w:t>
      </w:r>
      <w:r>
        <w:rPr>
          <w:rFonts w:ascii="arial" w:eastAsia="arial" w:hAnsi="arial" w:cs="arial"/>
          <w:sz w:val="20"/>
          <w:szCs w:val="20"/>
        </w:rPr>
        <w:t xml:space="preserve"> - 2010 ADA Standards for Accessible Design; 2010.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A156.1</w:t>
      </w:r>
      <w:r>
        <w:rPr>
          <w:rFonts w:ascii="arial" w:eastAsia="arial" w:hAnsi="arial" w:cs="arial"/>
          <w:sz w:val="20"/>
          <w:szCs w:val="20"/>
        </w:rPr>
        <w:t xml:space="preserve"> - Standard for Butts and Hinges;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A156.2</w:t>
      </w:r>
      <w:r>
        <w:rPr>
          <w:rFonts w:ascii="arial" w:eastAsia="arial" w:hAnsi="arial" w:cs="arial"/>
          <w:sz w:val="20"/>
          <w:szCs w:val="20"/>
        </w:rPr>
        <w:t xml:space="preserve"> - Bored and Preassembled Locks and Latches;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A156.3</w:t>
      </w:r>
      <w:r>
        <w:rPr>
          <w:rFonts w:ascii="arial" w:eastAsia="arial" w:hAnsi="arial" w:cs="arial"/>
          <w:sz w:val="20"/>
          <w:szCs w:val="20"/>
        </w:rPr>
        <w:t xml:space="preserve"> - Exit Devices;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A156.4</w:t>
      </w:r>
      <w:r>
        <w:rPr>
          <w:rFonts w:ascii="arial" w:eastAsia="arial" w:hAnsi="arial" w:cs="arial"/>
          <w:sz w:val="20"/>
          <w:szCs w:val="20"/>
        </w:rPr>
        <w:t xml:space="preserve"> - Door Closers and Pivots; 2024.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A156.6</w:t>
      </w:r>
      <w:r>
        <w:rPr>
          <w:rFonts w:ascii="arial" w:eastAsia="arial" w:hAnsi="arial" w:cs="arial"/>
          <w:sz w:val="20"/>
          <w:szCs w:val="20"/>
        </w:rPr>
        <w:t xml:space="preserve"> - Standard for Architectural Door Trim;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A156.7</w:t>
      </w:r>
      <w:r>
        <w:rPr>
          <w:rFonts w:ascii="arial" w:eastAsia="arial" w:hAnsi="arial" w:cs="arial"/>
          <w:sz w:val="20"/>
          <w:szCs w:val="20"/>
        </w:rPr>
        <w:t xml:space="preserve"> - Template Hinge Dimensions; 2016.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A156.8</w:t>
      </w:r>
      <w:r>
        <w:rPr>
          <w:rFonts w:ascii="arial" w:eastAsia="arial" w:hAnsi="arial" w:cs="arial"/>
          <w:sz w:val="20"/>
          <w:szCs w:val="20"/>
        </w:rPr>
        <w:t xml:space="preserve"> - Door Controls - Overhead Stops and Holders;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A156.16</w:t>
      </w:r>
      <w:r>
        <w:rPr>
          <w:rFonts w:ascii="arial" w:eastAsia="arial" w:hAnsi="arial" w:cs="arial"/>
          <w:sz w:val="20"/>
          <w:szCs w:val="20"/>
        </w:rPr>
        <w:t xml:space="preserve"> - Standard for Auxiliary Hardware; 2023.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A156.17</w:t>
      </w:r>
      <w:r>
        <w:rPr>
          <w:rFonts w:ascii="arial" w:eastAsia="arial" w:hAnsi="arial" w:cs="arial"/>
          <w:sz w:val="20"/>
          <w:szCs w:val="20"/>
        </w:rPr>
        <w:t xml:space="preserve"> - Self Closing Hinges &amp; Pivots; 2019.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A156.18</w:t>
      </w:r>
      <w:r>
        <w:rPr>
          <w:rFonts w:ascii="arial" w:eastAsia="arial" w:hAnsi="arial" w:cs="arial"/>
          <w:sz w:val="20"/>
          <w:szCs w:val="20"/>
        </w:rPr>
        <w:t xml:space="preserve"> - Standard for Materials and Finishes; 2020.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A156.21</w:t>
      </w:r>
      <w:r>
        <w:rPr>
          <w:rFonts w:ascii="arial" w:eastAsia="arial" w:hAnsi="arial" w:cs="arial"/>
          <w:sz w:val="20"/>
          <w:szCs w:val="20"/>
        </w:rPr>
        <w:t xml:space="preserve"> - Thresholds; 2019.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A156.22</w:t>
      </w:r>
      <w:r>
        <w:rPr>
          <w:rFonts w:ascii="arial" w:eastAsia="arial" w:hAnsi="arial" w:cs="arial"/>
          <w:sz w:val="20"/>
          <w:szCs w:val="20"/>
        </w:rPr>
        <w:t xml:space="preserve"> - Standard for Gasketing; 2021.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A156.115</w:t>
      </w:r>
      <w:r>
        <w:rPr>
          <w:rFonts w:ascii="arial" w:eastAsia="arial" w:hAnsi="arial" w:cs="arial"/>
          <w:sz w:val="20"/>
          <w:szCs w:val="20"/>
        </w:rPr>
        <w:t xml:space="preserve"> - Hardware Preparation in Steel Doors and Frames; 2016.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BHMA A156.115W</w:t>
      </w:r>
      <w:r>
        <w:rPr>
          <w:rFonts w:ascii="arial" w:eastAsia="arial" w:hAnsi="arial" w:cs="arial"/>
          <w:sz w:val="20"/>
          <w:szCs w:val="20"/>
        </w:rPr>
        <w:t xml:space="preserve"> - Hardware Preparation in Wood Doors with Wood or Steel Frames; 2006.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NFPA 80</w:t>
      </w:r>
      <w:r>
        <w:rPr>
          <w:rFonts w:ascii="arial" w:eastAsia="arial" w:hAnsi="arial" w:cs="arial"/>
          <w:sz w:val="20"/>
          <w:szCs w:val="20"/>
        </w:rPr>
        <w:t xml:space="preserve"> - Standard for Fire Doors and Other Opening Protectives;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NFPA 252</w:t>
      </w:r>
      <w:r>
        <w:rPr>
          <w:rFonts w:ascii="arial" w:eastAsia="arial" w:hAnsi="arial" w:cs="arial"/>
          <w:sz w:val="20"/>
          <w:szCs w:val="20"/>
        </w:rPr>
        <w:t xml:space="preserve"> - Standard Methods of Fire Tests of Door Assemblies; 2022.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UL (DIR)</w:t>
      </w:r>
      <w:r>
        <w:rPr>
          <w:rFonts w:ascii="arial" w:eastAsia="arial" w:hAnsi="arial" w:cs="arial"/>
          <w:sz w:val="20"/>
          <w:szCs w:val="20"/>
        </w:rPr>
        <w:t xml:space="preserve"> - Online Certifications Directory; Current Edition.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UL 10C</w:t>
      </w:r>
      <w:r>
        <w:rPr>
          <w:rFonts w:ascii="arial" w:eastAsia="arial" w:hAnsi="arial" w:cs="arial"/>
          <w:sz w:val="20"/>
          <w:szCs w:val="20"/>
        </w:rPr>
        <w:t xml:space="preserve"> - Standard for Positive Pressure Fire Tests of Door Assemblies; Current Edition, Including All Revisions.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2  PRODUCTS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DESIGN AND PERFORMANCE CRITERIA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specified door hardware as required to make doors fully functional, compliant with applicable codes, and secure to extent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individual items of single type, of same model, and by same manufacturer.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door hardware products that comply with the following requirements: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Applicable provisions of federal, state, and local codes.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Fire-Rated Doors:  NFPA 80, listed and labeled by qualified testing agency for fire protection ratings indicated, based on testing at positive pressure in accordance with NFPA 252 or UL 10C.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Hardware Preparation for Steel Doors and Steel Frames:  BHMA A156.115.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Hardware Preparation for Wood Doors with Wood or Steel Frames:  BHMA A156.115W.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Products Requiring Electrical Connection:  Listed and classified by UL (DIR) as suitable for the purpose specified.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Fasteners: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fasteners of proper type, size, quantity, and finish that comply with commercially recognized standards for proposed applications.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Aluminum fasteners are not permitted.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phillips flat-head screws with heads finished to match door surface hardware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machine screws for attachment to reinforced hollow metal and aluminum frames.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Self-drilling (Tek) type screws are not permitted.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spacers or sex bolts with sleeves for through bolting of hollow metal doors and frames.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Fire-Rated Applications:  Comply with NFPA 80.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wood or machine screws for hinges mortised to doors or frames, strike plates to frames, and closers to doors and frames.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steel through bolts for attachment of surface mounted closers, hinges, or exit devices to door panels unless proper door blocking is provided.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HINGES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McKinney; an Assa Abloy Group company; _____:  www.assaabloydss.com/#sle.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Hager Companies; _____:  www.hagerco.com/#sle.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Substitutions:  See Section 016000 - Product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Hinges:  Comply with BHMA A156.1​​.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Self Closing Hinges:  Comply with BHMA A156.17.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Butt Hinges:  Comply with BHMA A156.1 and BHMA A156.7 for templated hinges.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hinge width required to clear surrounding trim.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hinges on every swinging door.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non-removable pins on exterior outswinging doors.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following quantity of butt hinges for each door: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Doors From 60 inches High up to 90 inches High:  Three hinges.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Dutch Doors:  Two hinges each leaf.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EXIT DEVICES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Corbin Russwin, Sargent, or Yale; an Assa Abloy Group company; _____:  www.assaabloydss.com/#sle.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dormakaba; Architectural Hardware Series:  8000:  www.dormakaba.com/#sle.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Hager Companies; _____:  www.hagerco.com/#sle.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Von Duprin, an Allegion brand; _____:  www.allegion.com/us/#sle.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Exit Devices:  Comply with BHMA A156.3, Grade 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Lever design to match lockset trim.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cylinder with cylinder dogging or locking trim.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exit devices properly sized for door width and height.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strike as recommended by manufacturer for application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UL (DIR) listed exit device assemblies for fire-rated doors and panic device assemblies for non-fire-rated doors.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LOCK CYLINDERS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BEST, dormakaba Group; _____:  www.bestaccess.com/#sle.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dormakaba; _____:  www.bestaccess.com/#sle.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Lock Cylinders:  Provide key access on outside of each lock,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cylinders from same manufacturer as locking device.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cams and/or tailpieces as required for locking devices.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CYLINDRICAL LOCKS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Corbin Russwin, Sargent, or Yale; an Assa Abloy Group company; _____:  www.assaabloydss.com/#sle.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BEST, dormakaba Group​; 9K Series​:  www.bestaccess.com/#sle.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Cylindrical Locks (Bored):  Comply with BHMA A156.2, Grade 1, 4000 Series.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Bored Hole:  2-1/8 inch diameter.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Latchbolt Throw:  1/2 inch, minimum.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Backset:  2-3/4 inch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Strikes:  Provide manufacturer's standard strike for each latchset or lockset with strike box and curved lip extending to protect frame in compliance with indicated requirements.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Finish:  To match lock or latch.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DOOR PULLS AND PUSH PLATES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Rockwood; an Assa Abloy Group company; _____:  www.assaabloydss.com/#sle.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Hager Companies; _____:  www.hagerco.com/#sle.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Pulls and Push Plates:  Comply with BHMA A156.6.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Pull Type:  Straight,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Push Plate Type:  ​Flat, with rounded corners​, unless otherwise indicated.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Edges:  Beveled,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Aluminum,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On solid doors, provide matching door pull and push plate on opposite faces.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On glazed storefront doors, provide matching door pulls/push plates on both faces unless otherwise indicated.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DOOR PULLS AND PUSH BARS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Rockwood; an Assa Abloy Group company; _____:  www.assaabloydss.com/#sle.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dormakaba; TG9335 Series:  www.dormakaba.com/#sle.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Hager Companies; _____:  www.hagerco.com/#sle.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Pulls and Push Bars:  Comply with BHMA A156.6.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Bar Type:  Bar set,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Aluminum, unless otherwise indicated.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CLOSERS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Manufacturers; Surface Mounted: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BEST, dormakaba Group; EHD9000:  www.bestaccess.com/#sle.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dormakaba; 7300 Series, 7400 Series, 8600 Series, 8900 Series, STA8900 Series, and QDC100 Series:  www.dormakaba.com/#sle.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Hager Companies; _____:  www.hagerco.com/#sle.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LCN, an Allegion brand; _____:  www.allegion.com/us/#sle.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Closers:  Comply with BHMA A156.4, Grade 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Type:  Surface mounted to door.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door closer on each exterior door.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door closer on each fire-rated and smoke-rated door.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Spring hinges are not an acceptable self-closing device,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 corridor entry doors, mount closer on room side of door.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At outswinging exterior doors, mount closer on interior side of door.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OVERHEAD STOPS AND HOLDERS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Rixson or Sargent; an Assa Abloy Group company; _____:  www.assaabloydss.com/#sle.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dormakaba; 900 Series:  www.dormakaba.com/#sle.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Glynn-Johnson, an Allegion brand; _____:  www.allegion.com/us/#sle.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Overhead Stops and Holders (Door Checks):  Comply with BHMA A156.8, Grade 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stop for every swinging door, unless otherwise indicated.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PROTECTION PLATES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Hager Companies; _____:  www.hagerco.com/#sle.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Ives, an Allegion brand; _____:  www.allegion.com/us/#sle.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Protection Plates:  Comply with BHMA A156.6.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Metal Properties:  Aluminum material.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Metal, Heavy Duty:  Thickness 0.062 inch, minimum.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Edges:  Beveled, on four sides unless otherwise indicated.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Fasteners:  Countersunk screw fasteners.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KICK PLATES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Ives, an Allegion brand; _____:  www.allegion.com/us/#sle.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Kick Plates:  Provide along bottom edge of push side of every door with closer, except aluminum storefront and glass entry doors,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Size:  8 inch high by 2 inch less door width (LDW) on push side of door.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WALL STOPS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Rockwood; an Assa Abloy Group company; _____:  www.assaabloydss.com/#sle.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Hager Companies; _____:  www.hagerco.com/#sle.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Wall Stops:  Comply with BHMA A156.16, Grade 1 and Resilient Material Retention Test as described in this standard.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Type:  Bumper, concave, wall stop.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Aluminum housing with rubber insert.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THRESHOLDS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Dunbarton Corporation; _____:  www.dunbarton.com/#sle.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Pemko; an Assa Abloy Group company; _____:  www.assaabloydss.com/#sle.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Hager Companies; _____:  www.hagerco.com/#sle.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Thresholds:  Comply with BHMA A156.21.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threshold at each exterior door,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Type:  Flat surface.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Aluminum.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Threshold Surface:  ​Fluted horizontal grooves across full width​.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Field cut threshold to profile of frame and width of door sill for tight fit.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non-corroding fasteners at exterior locations.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WEATHERSTRIPPING AND GASKETING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Pemko; an Assa Abloy Group company; _____:  www.assaabloydss.com/#sle.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Hager Companies; _____:  www.hagerco.com/#sle.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Weatherstripping and Gasketing:  Comply with BHMA A156.22.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Head and Jamb Type:  Adjustable.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Sweep Type:  ​Mortised or concealed automatic, encased in retainer​.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Aluminum, with brush weatherstripping.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weatherstripping on each exterior door at head, jambs, and meeting stiles of door pairs,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Provide door bottom sweep on each exterior door, unless otherwise indicated.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SILENCERS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Ives, an Allegion brand; _____:  www.allegion.com/us/#sle.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Rockwood; an Assa Abloy Group company; _____:  www.assaabloydss.com/#sle.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Silencers:  Provide at equal locations on door frame to mute sound of door's impact upon closing.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Single Door:  Provide three on strike jamb of frame.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Pair of Doors:  Provide two on head of frame, one for each door at latch side.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Rubber, gray color.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VIEWER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Ives, an Allegion brand; _____:  www.allegion.com/us/#sle.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Viewer:  Provide at inside of door at eye level to see who is on outside of door, with integral door knocker.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Material:  ​Match door lever material​.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FIRE DEPARTMENT LOCK BOX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Manufacturers: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Knox Company; Knox-Box Rapid Entry System, _____:  www.knoxbox.com/#sle.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Fire Department Lock Box: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Capacity:  Holds​ 2 ​keys.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Finish:  Manufacturer's standard dark bronze.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FINISHES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Finishes:  Identified in Section 08 0671 - Door Hardware Schedule.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Finishes:  Provide door hardware of same finish, unless otherwise indicated.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 xml:space="preserve">​Primary ​Finish:  ​626; satin chromium plated over nickel, with brass or bronze base material (former US equivalent US26D)​; </w:t>
      </w:r>
      <w:r>
        <w:rPr>
          <w:rFonts w:ascii="arial" w:eastAsia="arial" w:hAnsi="arial" w:cs="arial"/>
          <w:sz w:val="20"/>
          <w:szCs w:val="20"/>
        </w:rPr>
        <w:t>BHMA A156.18.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Secondary Finish:  ​625; bright chromium plated over nickel, with brass or bronze base material (former US equivalent US26)​; BHMA A156.18.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Use secondary finish in kitchens, bathrooms, and other spaces containing chrome or stainless steel finished appliances, fittings, and equipment; provide primary finish on one side of door and secondary finish on other side if necessary.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Exceptions: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Where base material metal is specified to be different, provide finish that is an equivalent appearance in accordance with BHMA A156.18.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Hinges for Fire-Rated Doors:  Steel base material with painted finish, in compliance with NFPA 80.</w:t>
      </w:r>
    </w:p>
    <w:p>
      <w:pPr>
        <w:pStyle w:val="CSILevel1"/>
        <w:numPr>
          <w:ilvl w:val="1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PART 3  EXECUTION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EXAMINATION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Verify that doors and frames are ready to receive this work; labeled, fire-rated doors and frames are properly installed, and dimensions are as indicated on shop drawings.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INSTALLATION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hardware in accordance with manufacturer's instructions and applicable codes.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Install hardware on fire-rated doors and frames in accordance with applicable codes and NFPA 80.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Use templates provided by hardware item manufacturer.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Hardware Mounting Heights:   Distance from finished floor to center line of hardware item.  As indicated in following list; unless noted otherwise in Door Hardware Schedule or on drawings.</w:t>
      </w:r>
    </w:p>
    <w:p>
      <w:pPr>
        <w:pStyle w:val="CSILevel4"/>
        <w:numPr>
          <w:ilvl w:val="4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Mounting heights in compliance with ADA Standards: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Locksets:  40-5/16 inch.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Push Plates/Pull Bars:  42 inch.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Deadlocks (Deadbolts):  48 inch.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Exit Devices:  40-5/16 inch.</w:t>
      </w:r>
    </w:p>
    <w:p>
      <w:pPr>
        <w:pStyle w:val="CSILevel5"/>
        <w:numPr>
          <w:ilvl w:val="5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Door Viewer:  43 inch; standard height 60 inch.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Set exterior door thresholds with full-width bead of elastomeric sealant at each point of contact with floor providing a continuous weather seal; anchor thresholds with stainless steel countersunk screws.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ADJUSTING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Adjust work under provisions of Section 017000 - Execution and Closeout Requirements.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Adjust hardware for smooth operation.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Adjust gasketing for complete, continuous seal; replace if unable to make complete seal.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CLEANING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Clean finished hardware in accordance with manufacturer's written instructions after final adjustments have been made.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Clean adjacent surfaces soiled by hardware installation.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Replace items that cannot be cleaned to manufacturer's level of finish quality at no additional cost.</w:t>
      </w:r>
    </w:p>
    <w:p>
      <w:pPr>
        <w:pStyle w:val="CSILevel2"/>
        <w:numPr>
          <w:ilvl w:val="2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PROTECTION</w:t>
      </w:r>
    </w:p>
    <w:p>
      <w:pPr>
        <w:pStyle w:val="CSILevel3"/>
        <w:numPr>
          <w:ilvl w:val="3"/>
          <w:numId w:val="2"/>
        </w:numPr>
        <w:jc w:val="left"/>
      </w:pPr>
      <w:r>
        <w:rPr>
          <w:rFonts w:ascii="arial" w:eastAsia="arial" w:hAnsi="arial" w:cs="arial"/>
          <w:sz w:val="20"/>
          <w:szCs w:val="20"/>
        </w:rPr>
        <w:t>Protect finished Work under provisions of Section 017000 - Execution and Closeout Requirements.</w:t>
      </w:r>
    </w:p>
    <w:p>
      <w:pPr>
        <w:pStyle w:val="CSILevel3"/>
        <w:numPr>
          <w:ilvl w:val="3"/>
          <w:numId w:val="2"/>
        </w:numPr>
        <w:keepNext/>
        <w:keepLines/>
        <w:jc w:val="left"/>
      </w:pPr>
      <w:r>
        <w:rPr>
          <w:rFonts w:ascii="arial" w:eastAsia="arial" w:hAnsi="arial" w:cs="arial"/>
          <w:sz w:val="20"/>
          <w:szCs w:val="20"/>
        </w:rPr>
        <w:t>Do not permit adjacent work to damage hardware or finish.</w:t>
      </w:r>
    </w:p>
    <w:p>
      <w:pPr>
        <w:pStyle w:val="CSILevel0"/>
        <w:numPr>
          <w:ilvl w:val="0"/>
          <w:numId w:val="3"/>
        </w:numPr>
        <w:ind w:left="0"/>
        <w:jc w:val="center"/>
      </w:pPr>
      <w:r>
        <w:rPr>
          <w:rFonts w:ascii="arial" w:eastAsia="arial" w:hAnsi="arial" w:cs="arial"/>
          <w:sz w:val="20"/>
          <w:szCs w:val="20"/>
        </w:rPr>
        <w:t>END OF SECTION</w:t>
      </w:r>
    </w:p>
    <w:sectPr>
      <w:headerReference w:type="default" r:id="gemHfRid0"/>
      <w:footerReference w:type="default" r:id="gemHfRid1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Haven House Expansion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087100 -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hint="default" w:ascii="arial" w:eastAsia="arial" w:hAnsi="arial" w:cs="arial"/>
              <w:color w:val="000000"/>
              <w:spacing w:val="0"/>
              <w:w w:val="100"/>
              <w:kern w:val="0"/>
              <w:position w:val="0"/>
              <w:sz w:val="20"/>
              <w:szCs w:val="20"/>
              <w:highlight w:val="none"/>
              <w:u w:color="000000" w:val="none"/>
              <w:bdr w:val="nil"/>
            </w:rPr>
            <w:t>6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 xml:space="preserve"> </w:t>
          </w: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Door Hardware </w:t>
          </w: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 w15">
  <w:tbl>
    <w:tblPr>
      <w:tblW w:w="5000" w:type="pct"/>
      <w:jc w:val="left"/>
    </w:tblPr>
    <w:tr>
      <w:tc>
        <w:tcPr>
          <w:tcW w:w="1650" w:type="pct"/>
          <w:vAlign w:val="center"/>
        </w:tcPr>
        <w:p>
          <w:pPr>
            <w:spacing w:before="0" w:after="0"/>
            <w:jc w:val="left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>
          <w:pPr>
            <w:spacing w:before="0"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pStyle w:val="CSILevel0"/>
      <w:lvlText w:val="%1."/>
      <w:pPr>
        <w:ind w:left="720" w:hanging="360"/>
      </w:pPr>
    </w:lvl>
    <w:lvl w:ilvl="1">
      <w:start w:val="1"/>
      <w:numFmt w:val="lowerLetter"/>
      <w:pStyle w:val="CSILevel1"/>
      <w:lvlText w:val="%2."/>
      <w:pPr>
        <w:ind w:left="1440" w:hanging="360"/>
      </w:pPr>
    </w:lvl>
    <w:lvl w:ilvl="2">
      <w:start w:val="1"/>
      <w:numFmt w:val="lowerRoman"/>
      <w:pStyle w:val="CSILevel2"/>
      <w:lvlText w:val="%3."/>
      <w:lvlJc w:val="right"/>
      <w:pPr>
        <w:ind w:left="2160" w:hanging="180"/>
      </w:pPr>
    </w:lvl>
    <w:lvl w:ilvl="3">
      <w:start w:val="1"/>
      <w:pStyle w:val="CSILevel3"/>
      <w:lvlText w:val="%4."/>
      <w:pPr>
        <w:ind w:left="2880" w:hanging="360"/>
      </w:pPr>
    </w:lvl>
    <w:lvl w:ilvl="4">
      <w:start w:val="1"/>
      <w:numFmt w:val="lowerLetter"/>
      <w:pStyle w:val="CSILevel4"/>
      <w:lvlText w:val="%5."/>
      <w:pPr>
        <w:ind w:left="3600" w:hanging="360"/>
      </w:pPr>
    </w:lvl>
    <w:lvl w:ilvl="5">
      <w:start w:val="1"/>
      <w:numFmt w:val="lowerRoman"/>
      <w:pStyle w:val="CSILevel5"/>
      <w:lvlText w:val="%6."/>
      <w:lvlJc w:val="right"/>
      <w:pPr>
        <w:ind w:left="4320" w:hanging="180"/>
      </w:pPr>
    </w:lvl>
    <w:lvl w:ilvl="6">
      <w:start w:val="1"/>
      <w:pStyle w:val="CSILevel6"/>
      <w:lvlText w:val="%7."/>
      <w:pPr>
        <w:ind w:left="5040" w:hanging="360"/>
      </w:pPr>
    </w:lvl>
    <w:lvl w:ilvl="7">
      <w:start w:val="1"/>
      <w:numFmt w:val="lowerLetter"/>
      <w:pStyle w:val="CSILevel7"/>
      <w:lvlText w:val="%8."/>
      <w:pPr>
        <w:ind w:left="5760" w:hanging="360"/>
      </w:pPr>
    </w:lvl>
    <w:lvl w:ilvl="8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lvlText w:val="%1."/>
      <w:pPr>
        <w:ind w:left="720" w:hanging="360"/>
      </w:pPr>
    </w:lvl>
    <w:lvl w:ilvl="1">
      <w:start w:val="1"/>
      <w:numFmt w:val="lowerLetter"/>
      <w:lvlText w:val="%2.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lvlText w:val="%4."/>
      <w:pPr>
        <w:ind w:left="2880" w:hanging="360"/>
      </w:pPr>
    </w:lvl>
    <w:lvl w:ilvl="4">
      <w:start w:val="1"/>
      <w:numFmt w:val="lowerLetter"/>
      <w:lvlText w:val="%5.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lvlText w:val="%7."/>
      <w:pPr>
        <w:ind w:left="5040" w:hanging="360"/>
      </w:pPr>
    </w:lvl>
    <w:lvl w:ilvl="7">
      <w:start w:val="1"/>
      <w:numFmt w:val="lowerLetter"/>
      <w:lvlText w:val="%8.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  <w:num w:numId="2">
    <w:abstractNumId w:val="1"/>
    <w:lvlOverride w:ilvl="0">
      <w:lvl w:ilvl="0">
        <w:start w:val="1"/>
        <w:numFmt w:val="none"/>
        <w:pStyle w:val="CSILevel0"/>
        <w:suff w:val="nothing"/>
        <w:lvlText w:val="%1"/>
        <w:lvlJc w:val="center"/>
        <w:pPr>
          <w:ind w:left="720" w:hanging="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1">
      <w:lvl w:ilvl="1">
        <w:start w:val="1"/>
        <w:numFmt w:val="decimal"/>
        <w:pStyle w:val="CSILevel1"/>
        <w:suff w:val="nothing"/>
        <w:lvlText w:val=""/>
        <w:lvlJc w:val="left"/>
        <w:pPr>
          <w:ind w:left="0" w:hanging="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2">
      <w:lvl w:ilvl="2">
        <w:start w:val="1"/>
        <w:numFmt w:val="decimalZero"/>
        <w:pStyle w:val="CSILevel2"/>
        <w:suff w:val="tab"/>
        <w:lvlText w:val="%2.%3"/>
        <w:lvlJc w:val="left"/>
        <w:pPr>
          <w:ind w:left="530" w:hanging="530"/>
        </w:pPr>
        <w:rPr>
          <w:b/>
          <w:bCs/>
          <w:i w:val="false"/>
          <w:caps w:val="false"/>
          <w:strike w:val="false"/>
          <w:u w:val="none"/>
        </w:rPr>
      </w:lvl>
    </w:lvlOverride>
    <w:lvlOverride w:ilvl="3">
      <w:lvl w:ilvl="3">
        <w:start w:val="1"/>
        <w:numFmt w:val="upperLetter"/>
        <w:pStyle w:val="CSILevel3"/>
        <w:suff w:val="tab"/>
        <w:lvlText w:val="%4."/>
        <w:lvlJc w:val="left"/>
        <w:pPr>
          <w:ind w:left="90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4">
      <w:lvl w:ilvl="4">
        <w:start w:val="1"/>
        <w:numFmt w:val="decimal"/>
        <w:pStyle w:val="CSILevel4"/>
        <w:suff w:val="tab"/>
        <w:lvlText w:val="%5."/>
        <w:lvlJc w:val="left"/>
        <w:pPr>
          <w:ind w:left="1360" w:hanging="46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5">
      <w:lvl w:ilvl="5">
        <w:start w:val="1"/>
        <w:numFmt w:val="lowerLetter"/>
        <w:pStyle w:val="CSILevel5"/>
        <w:suff w:val="tab"/>
        <w:lvlText w:val="%6."/>
        <w:lvlJc w:val="left"/>
        <w:pPr>
          <w:ind w:left="178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6">
      <w:lvl w:ilvl="6">
        <w:start w:val="1"/>
        <w:numFmt w:val="decimal"/>
        <w:pStyle w:val="CSILevel6"/>
        <w:suff w:val="tab"/>
        <w:lvlText w:val="%7)"/>
        <w:lvlJc w:val="left"/>
        <w:pPr>
          <w:ind w:left="223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7">
      <w:lvl w:ilvl="7">
        <w:start w:val="1"/>
        <w:numFmt w:val="lowerLetter"/>
        <w:pStyle w:val="CSILevel7"/>
        <w:suff w:val="tab"/>
        <w:lvlText w:val="(%8)"/>
        <w:lvlJc w:val="left"/>
        <w:pPr>
          <w:ind w:left="2650" w:hanging="42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  <w:lvlOverride w:ilvl="8">
      <w:lvl w:ilvl="8">
        <w:start w:val="1"/>
        <w:numFmt w:val="decimal"/>
        <w:pStyle w:val="CSILevel8"/>
        <w:suff w:val="tab"/>
        <w:lvlText w:val="(%9)"/>
        <w:lvlJc w:val="left"/>
        <w:pPr>
          <w:ind w:left="3100" w:hanging="450"/>
        </w:pPr>
        <w:rPr>
          <w:b w:val="false"/>
          <w:bCs w:val="false"/>
          <w:i w:val="false"/>
          <w:caps w:val="false"/>
          <w:strike w:val="false"/>
          <w:u w:val="none"/>
        </w:rPr>
      </w:lvl>
    </w:lvlOverride>
  </w:num>
  <w:num w:numId="3">
    <w:abstractNumId w:val="2"/>
    <w:lvlOverride w:ilvl="0">
      <w:lvl w:ilvl="0">
        <w:start w:val="1"/>
        <w:numFmt w:val="none"/>
        <w:suff w:val="nothing"/>
        <w:lvlText w:val=""/>
        <w:lvlJc w:val="center"/>
        <w:pPr>
          <w:ind w:left="0" w:hanging="0"/>
        </w:pPr>
        <w:rPr>
          <w:b/>
          <w:bCs/>
          <w:i w:val="false"/>
          <w:strike w:val="fals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806F8D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</w:rPr>
    </w:rPrDefault>
    <w:pPrDefault>
      <w:pPr>
        <w:spacing w:after="200" w:lineRule="auto" w:line="276"/>
      </w:pPr>
    </w:pPrDefault>
  </w:docDefaults>
  <w:style w:type="paragraph" w:styleId="CSILevel0">
    <w:name w:val="CSILevel0"/>
    <w:qFormat/>
    <w:pPr>
      <w:numPr>
        <w:ilvl w:val="0"/>
        <w:numId w:val="2"/>
      </w:numPr>
      <w:spacing w:before="86" w:after="0" w:lineRule="auto" w:line="24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0">
    <w:name w:val="Table-CSILevel0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0-AddParaTC">
    <w:name w:val="Table-CSILevel0-Add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0-RemoveParaTC">
    <w:name w:val="Table-CSILevel0-RemoveParaTC"/>
    <w:qFormat/>
    <w:pPr>
      <w:pStyle w:val="CSILevel0"/>
      <w:spacing w:before="86" w:after="0"/>
      <w:outlineLvl w:val="9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1">
    <w:name w:val="CSILevel1"/>
    <w:qFormat/>
    <w:pPr>
      <w:numPr>
        <w:ilvl w:val="1"/>
        <w:numId w:val="2"/>
      </w:numPr>
      <w:spacing w:before="86" w:after="0" w:lineRule="auto" w:line="24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1">
    <w:name w:val="Table-CSILevel1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1-AddParaTC">
    <w:name w:val="Table-CSILevel1-Add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1-RemoveParaTC">
    <w:name w:val="Table-CSILevel1-RemoveParaTC"/>
    <w:qFormat/>
    <w:pPr>
      <w:pStyle w:val="CSILevel1"/>
      <w:spacing w:before="86" w:after="0"/>
      <w:outlineLvl w:val="0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2">
    <w:name w:val="CSILevel2"/>
    <w:qFormat/>
    <w:pPr>
      <w:numPr>
        <w:ilvl w:val="2"/>
        <w:numId w:val="2"/>
      </w:numPr>
      <w:spacing w:before="86" w:after="0" w:lineRule="auto" w:line="24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</w:style>
  <w:style w:type="table" w:styleId="Table-CSILevel2">
    <w:name w:val="Table-CSILevel2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2-AddParaTC">
    <w:name w:val="Table-CSILevel2-Add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2-RemoveParaTC">
    <w:name w:val="Table-CSILevel2-RemoveParaTC"/>
    <w:qFormat/>
    <w:pPr>
      <w:pStyle w:val="CSILevel2"/>
      <w:spacing w:before="86" w:after="0"/>
      <w:outlineLvl w:val="1"/>
    </w:pPr>
    <w:rPr>
      <w:rFonts w:ascii="Arial" w:eastAsia="Arial" w:hAnsi="Arial" w:cs="Arial"/>
      <w:b/>
      <w:bCs/>
      <w:i w:val="false"/>
      <w:caps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3">
    <w:name w:val="CSILevel3"/>
    <w:qFormat/>
    <w:pPr>
      <w:numPr>
        <w:ilvl w:val="3"/>
        <w:numId w:val="2"/>
      </w:numPr>
      <w:spacing w:before="86" w:after="0" w:lineRule="auto" w:line="24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3">
    <w:name w:val="Table-CSILevel3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3-AddParaTC">
    <w:name w:val="Table-CSILevel3-Add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3-RemoveParaTC">
    <w:name w:val="Table-CSILevel3-RemoveParaTC"/>
    <w:qFormat/>
    <w:pPr>
      <w:pStyle w:val="CSILevel3"/>
      <w:spacing w:before="86" w:after="0"/>
      <w:outlineLvl w:val="2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4">
    <w:name w:val="CSILevel4"/>
    <w:qFormat/>
    <w:pPr>
      <w:numPr>
        <w:ilvl w:val="4"/>
        <w:numId w:val="2"/>
      </w:numPr>
      <w:spacing w:before="14" w:after="0" w:lineRule="auto" w:line="24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4">
    <w:name w:val="Table-CSILevel4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4-AddParaTC">
    <w:name w:val="Table-CSILevel4-Add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4-RemoveParaTC">
    <w:name w:val="Table-CSILevel4-RemoveParaTC"/>
    <w:qFormat/>
    <w:pPr>
      <w:pStyle w:val="CSILevel4"/>
      <w:spacing w:before="14" w:after="0"/>
      <w:outlineLvl w:val="3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5">
    <w:name w:val="CSILevel5"/>
    <w:qFormat/>
    <w:pPr>
      <w:numPr>
        <w:ilvl w:val="5"/>
        <w:numId w:val="2"/>
      </w:numPr>
      <w:spacing w:before="14" w:after="0" w:lineRule="auto" w:line="24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5">
    <w:name w:val="Table-CSILevel5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5-AddParaTC">
    <w:name w:val="Table-CSILevel5-Add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5-RemoveParaTC">
    <w:name w:val="Table-CSILevel5-RemoveParaTC"/>
    <w:qFormat/>
    <w:pPr>
      <w:pStyle w:val="CSILevel5"/>
      <w:spacing w:before="14" w:after="0"/>
      <w:outlineLvl w:val="4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6">
    <w:name w:val="CSILevel6"/>
    <w:qFormat/>
    <w:pPr>
      <w:numPr>
        <w:ilvl w:val="6"/>
        <w:numId w:val="2"/>
      </w:numPr>
      <w:spacing w:before="14" w:after="0" w:lineRule="auto" w:line="24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6">
    <w:name w:val="Table-CSILevel6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6-AddParaTC">
    <w:name w:val="Table-CSILevel6-Add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6-RemoveParaTC">
    <w:name w:val="Table-CSILevel6-RemoveParaTC"/>
    <w:qFormat/>
    <w:pPr>
      <w:pStyle w:val="CSILevel6"/>
      <w:spacing w:before="14" w:after="0"/>
      <w:outlineLvl w:val="5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7">
    <w:name w:val="CSILevel7"/>
    <w:qFormat/>
    <w:pPr>
      <w:numPr>
        <w:ilvl w:val="7"/>
        <w:numId w:val="2"/>
      </w:numPr>
      <w:spacing w:before="14" w:after="0" w:lineRule="auto" w:line="24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7">
    <w:name w:val="Table-CSILevel7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7-AddParaTC">
    <w:name w:val="Table-CSILevel7-Add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7-RemoveParaTC">
    <w:name w:val="Table-CSILevel7-RemoveParaTC"/>
    <w:qFormat/>
    <w:pPr>
      <w:pStyle w:val="CSILevel7"/>
      <w:spacing w:before="14" w:after="0"/>
      <w:outlineLvl w:val="6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paragraph" w:styleId="CSILevel8">
    <w:name w:val="CSILevel8"/>
    <w:qFormat/>
    <w:pPr>
      <w:numPr>
        <w:ilvl w:val="8"/>
        <w:numId w:val="2"/>
      </w:numPr>
      <w:spacing w:before="14" w:after="0" w:lineRule="auto" w:line="24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</w:style>
  <w:style w:type="table" w:styleId="Table-CSILevel8">
    <w:name w:val="Table-CSILevel8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sz w:val="20"/>
      <w:szCs w:val="20"/>
      <w:u w:val="none"/>
    </w:rPr>
    <w:tblPr>
      <w:tblStyleRowBandSize w:val="1"/>
      <w:tblStyleColBandSize w:val="1"/>
    </w:tblPr>
    <w:trPr/>
    <w:tcPr/>
  </w:style>
  <w:style w:type="table" w:styleId="Table-CSILevel8-AddParaTC">
    <w:name w:val="Table-CSILevel8-Add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 w:val="false"/>
      <w:color w:val="FF0000"/>
      <w:sz w:val="20"/>
      <w:szCs w:val="20"/>
      <w:u w:val="singl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Table-CSILevel8-RemoveParaTC">
    <w:name w:val="Table-CSILevel8-RemoveParaTC"/>
    <w:qFormat/>
    <w:pPr>
      <w:pStyle w:val="CSILevel8"/>
      <w:spacing w:before="14" w:after="0"/>
      <w:outlineLvl w:val="7"/>
    </w:pPr>
    <w:rPr>
      <w:rFonts w:ascii="Arial" w:eastAsia="Arial" w:hAnsi="Arial" w:cs="Arial"/>
      <w:b w:val="false"/>
      <w:bCs w:val="false"/>
      <w:i w:val="false"/>
      <w:caps w:val="false"/>
      <w:strike/>
      <w:color w:val="FF0000"/>
      <w:sz w:val="20"/>
      <w:szCs w:val="20"/>
      <w:u w:val="none"/>
    </w:rPr>
    <w:tblPr>
      <w:tblStyleRowBandSize w:val="1"/>
      <w:tblStyleColBandSize w:val="1"/>
      <w:tblBorders>
        <w:top w:val="single" w:sz="8" w:color="FF0000"/>
        <w:left w:val="single" w:sz="8" w:color="FF0000"/>
        <w:bottom w:val="single" w:sz="8" w:color="FF0000"/>
        <w:right w:val="single" w:sz="8" w:color="FF0000"/>
        <w:insideH w:val="single" w:sz="8" w:color="FF0000"/>
        <w:insideV w:val="single" w:sz="8" w:color="FF0000"/>
      </w:tblBorders>
    </w:tblPr>
    <w:trPr/>
    <w:tcPr/>
  </w:style>
  <w:style w:type="table" w:styleId="Normal Table" w:default="true">
    <w:name w:val="Normal Table"/>
    <w:uiPriority w:val="99"/>
    <w:semiHidden/>
    <w:unhideWhenUsed/>
    <w:qFormat/>
    <w:pPr/>
    <w:rPr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able Grid">
    <w:name w:val="Table Grid"/>
    <w:basedOn w:val="Normal Table"/>
    <w:qFormat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4" w:color="000000"/>
        <w:left w:val="single" w:sz="4" w:color="000000"/>
        <w:bottom w:val="single" w:sz="4" w:color="000000"/>
        <w:right w:val="single" w:sz="4" w:color="000000"/>
        <w:insideH w:val="single" w:sz="4" w:color="000000"/>
        <w:insideV w:val="single" w:sz="4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